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150" w:afterAutospacing="0" w:line="450" w:lineRule="atLeast"/>
        <w:ind w:left="0" w:right="0" w:firstLine="0"/>
        <w:jc w:val="center"/>
        <w:rPr>
          <w:b/>
          <w:i w:val="0"/>
          <w:color w:val="000000"/>
          <w:sz w:val="27"/>
        </w:rPr>
      </w:pPr>
      <w:bookmarkStart w:id="0" w:name="_GoBack"/>
      <w:bookmarkEnd w:id="0"/>
      <w:r>
        <w:rPr>
          <w:b/>
          <w:i w:val="0"/>
          <w:color w:val="000000"/>
          <w:sz w:val="27"/>
        </w:rPr>
        <w:t>《基础泰语3》课程思政教学案例</w:t>
      </w:r>
    </w:p>
    <w:p>
      <w:pPr>
        <w:spacing w:after="0"/>
        <w:ind w:left="0"/>
        <w:jc w:val="center"/>
        <w:rPr>
          <w:b/>
          <w:i w:val="0"/>
          <w:color w:val="000000"/>
          <w:sz w:val="27"/>
        </w:rPr>
      </w:pPr>
    </w:p>
    <w:p>
      <w:pPr>
        <w:spacing w:after="0"/>
        <w:ind w:left="0"/>
        <w:jc w:val="left"/>
      </w:pPr>
      <w:r>
        <w:rPr>
          <w:b w:val="0"/>
          <w:i w:val="0"/>
          <w:color w:val="000000"/>
          <w:sz w:val="24"/>
        </w:rPr>
        <w:t>课程名称：基础泰语3</w:t>
      </w:r>
    </w:p>
    <w:p>
      <w:pPr>
        <w:spacing w:after="0"/>
        <w:ind w:left="0"/>
        <w:jc w:val="left"/>
      </w:pPr>
      <w:r>
        <w:rPr>
          <w:b w:val="0"/>
          <w:i w:val="0"/>
          <w:color w:val="000000"/>
          <w:sz w:val="24"/>
        </w:rPr>
        <w:t>课程性质：专业必修课</w:t>
      </w:r>
    </w:p>
    <w:p>
      <w:pPr>
        <w:spacing w:after="0"/>
        <w:ind w:left="0"/>
        <w:jc w:val="left"/>
      </w:pPr>
      <w:r>
        <w:rPr>
          <w:b w:val="0"/>
          <w:i w:val="0"/>
          <w:color w:val="000000"/>
          <w:sz w:val="24"/>
        </w:rPr>
        <w:t>授课对象：泰语专业大二年级学生</w:t>
      </w:r>
    </w:p>
    <w:p>
      <w:pPr>
        <w:spacing w:after="0"/>
        <w:ind w:left="0"/>
        <w:jc w:val="left"/>
      </w:pPr>
      <w:r>
        <w:rPr>
          <w:b w:val="0"/>
          <w:i w:val="0"/>
          <w:color w:val="000000"/>
          <w:sz w:val="24"/>
        </w:rPr>
        <w:t>课程负责人：李粉仙</w:t>
      </w:r>
    </w:p>
    <w:p>
      <w:pPr>
        <w:spacing w:after="0"/>
        <w:ind w:left="0"/>
        <w:jc w:val="left"/>
      </w:pPr>
      <w:r>
        <w:br w:type="textWrapping"/>
      </w:r>
    </w:p>
    <w:p>
      <w:pPr>
        <w:spacing w:after="0"/>
        <w:ind w:left="0"/>
        <w:jc w:val="left"/>
      </w:pPr>
      <w:r>
        <w:rPr>
          <w:b w:val="0"/>
          <w:i w:val="0"/>
          <w:color w:val="000000"/>
          <w:sz w:val="24"/>
        </w:rPr>
        <w:t>本课程开展课程思政教育教学改革的整体思路</w:t>
      </w:r>
    </w:p>
    <w:p>
      <w:pPr>
        <w:spacing w:after="0"/>
        <w:ind w:left="0"/>
        <w:jc w:val="left"/>
      </w:pPr>
      <w:r>
        <w:rPr>
          <w:b w:val="0"/>
          <w:i w:val="0"/>
          <w:color w:val="000000"/>
          <w:sz w:val="24"/>
        </w:rPr>
        <w:t>外语教学承载着为国家和社会培养跨文化、国际化人才的重要使命，思政教育并不是政治任务，而是教育思维方式转变，重在引导学生“精神成人”。泰语专业旨在培养具备扎实专业基础，良好综合素养，又具有家国情怀、国际视野和责任担当的应用型泰语人才。</w:t>
      </w:r>
    </w:p>
    <w:p>
      <w:pPr>
        <w:spacing w:after="0"/>
        <w:ind w:left="0"/>
        <w:jc w:val="left"/>
      </w:pPr>
      <w:r>
        <w:rPr>
          <w:b w:val="0"/>
          <w:i w:val="0"/>
          <w:color w:val="000000"/>
          <w:sz w:val="24"/>
        </w:rPr>
        <w:t>本课程属于泰语专业的核心基础课程，教学周期长，所占课时多，是师生教学互动最为频繁的一门专业课程。教学中，紧紧围绕泰语专业人才培养方案的目标和要求，调整教学大纲，完善课程评价体系，以学生为中心，通过班主任和任课教师的双重身份，有责任和有意识地把企业、社会需求同专业教育相结合。坚持发挥好外语课堂思政教育的阵地作用，秉持知识传授与价值引领相结合的宗旨与目标，以课程为本，思政育人，张弛有度，持续强化。教学实施过程中在强调专业知识本位的同时，努力优化教学方法，结合每章节主题知识激活或融入思政元素，注重学生能力、思维、情感和态度的培养。基础阶段的学习中，重视正确价值观的引导，强调单词的积累和文章的广泛阅读，鼓励学生学会从小事做起，养成持之以恒的良好学习习惯。同时尽力用好课堂教学这一主渠道，在语言和文化知识讲授过程中，结合社会热点问题，同学生们一起向世界“讲好中国故事，传播好中国声音，阐释好中国特色”，促进专业培养与立德树人相得益彰。</w:t>
      </w:r>
    </w:p>
    <w:p>
      <w:pPr>
        <w:spacing w:after="0"/>
        <w:ind w:left="0"/>
        <w:jc w:val="left"/>
      </w:pPr>
      <w:r>
        <w:br w:type="textWrapping"/>
      </w:r>
    </w:p>
    <w:p>
      <w:pPr>
        <w:spacing w:after="0"/>
        <w:ind w:left="0"/>
        <w:jc w:val="left"/>
      </w:pPr>
      <w:r>
        <w:rPr>
          <w:b w:val="0"/>
          <w:i w:val="0"/>
          <w:color w:val="000000"/>
          <w:sz w:val="24"/>
        </w:rPr>
        <w:t>二、《泰国礼仪》主题课文案例介绍</w:t>
      </w:r>
    </w:p>
    <w:p>
      <w:pPr>
        <w:spacing w:after="0"/>
        <w:ind w:left="0"/>
        <w:jc w:val="left"/>
      </w:pPr>
      <w:r>
        <w:rPr>
          <w:b w:val="0"/>
          <w:i w:val="0"/>
          <w:color w:val="000000"/>
          <w:sz w:val="24"/>
        </w:rPr>
        <w:t>（一）本案例的教学目标</w:t>
      </w:r>
    </w:p>
    <w:p>
      <w:pPr>
        <w:spacing w:after="0"/>
        <w:ind w:left="0"/>
        <w:jc w:val="left"/>
      </w:pPr>
      <w:r>
        <w:rPr>
          <w:b w:val="0"/>
          <w:i w:val="0"/>
          <w:color w:val="000000"/>
          <w:sz w:val="24"/>
        </w:rPr>
        <w:t>1.知识与技能目标</w:t>
      </w:r>
    </w:p>
    <w:p>
      <w:pPr>
        <w:spacing w:after="0"/>
        <w:ind w:left="119"/>
        <w:jc w:val="left"/>
      </w:pPr>
      <w:r>
        <w:rPr>
          <w:b w:val="0"/>
          <w:i w:val="0"/>
          <w:color w:val="000000"/>
          <w:sz w:val="24"/>
        </w:rPr>
        <w:t>能记住文中的相关词汇和短语表达，理解文中重要句法结构并能完成造句和句子翻译练习，能准确流利地朗读课文，翻译出文章意思并撰写短文。学会泰国行为礼仪知识，对比中泰礼仪异同之处，并能用泰语进行总结和阐述。提升学生的泰语语言综合水平和跨文化交际能力，教学中实施多样互动，以期提高学生自我学习能力和团队协作能力，夯实专业基础。</w:t>
      </w:r>
    </w:p>
    <w:p>
      <w:pPr>
        <w:spacing w:after="0"/>
        <w:ind w:left="0"/>
        <w:jc w:val="left"/>
      </w:pPr>
      <w:r>
        <w:rPr>
          <w:b w:val="0"/>
          <w:i w:val="0"/>
          <w:color w:val="000000"/>
          <w:sz w:val="24"/>
        </w:rPr>
        <w:t>2.思想政治教育目标</w:t>
      </w:r>
    </w:p>
    <w:p>
      <w:pPr>
        <w:spacing w:after="0"/>
        <w:ind w:left="0"/>
        <w:jc w:val="left"/>
      </w:pPr>
      <w:r>
        <w:rPr>
          <w:b w:val="0"/>
          <w:i w:val="0"/>
          <w:color w:val="000000"/>
          <w:sz w:val="24"/>
        </w:rPr>
        <w:t>使学生学会对文化的认同、包容和相互交融借鉴，理解和尊重文化差异，学会用多样的角度去看待问题，拓宽知识面和视野。通过体验和感知礼仪文明传统美德，让学生热爱自己祖国的灿烂文化，传承和弘扬中华优秀传统文化，坚定文化自信。</w:t>
      </w:r>
    </w:p>
    <w:p>
      <w:pPr>
        <w:spacing w:after="0"/>
        <w:ind w:left="0"/>
        <w:jc w:val="left"/>
      </w:pPr>
      <w:r>
        <w:rPr>
          <w:b w:val="0"/>
          <w:i w:val="0"/>
          <w:color w:val="000000"/>
          <w:sz w:val="24"/>
        </w:rPr>
        <w:t>（二）教学实施过程</w:t>
      </w:r>
    </w:p>
    <w:p>
      <w:pPr>
        <w:spacing w:after="0"/>
        <w:ind w:left="0"/>
        <w:jc w:val="left"/>
      </w:pPr>
      <w:r>
        <w:rPr>
          <w:b w:val="0"/>
          <w:i w:val="0"/>
          <w:color w:val="000000"/>
          <w:sz w:val="24"/>
        </w:rPr>
        <w:t>1.课前注重激发学生自主学习和思考的能力，培养课前预习的良好学习习惯。教师在优慕课在线平台上布置思考题，要求预习课文后梳理出泰国礼仪中的行为禁忌有哪些？思考泰国礼仪与中国礼仪的异同之处有哪些？</w:t>
      </w:r>
    </w:p>
    <w:p>
      <w:pPr>
        <w:spacing w:after="0"/>
        <w:ind w:left="0"/>
        <w:jc w:val="center"/>
      </w:pPr>
      <w:r>
        <w:drawing>
          <wp:inline distT="0" distB="0" distL="0" distR="0">
            <wp:extent cx="2651760" cy="1703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651887" cy="1704188"/>
                    </a:xfrm>
                    <a:prstGeom prst="rect">
                      <a:avLst/>
                    </a:prstGeom>
                  </pic:spPr>
                </pic:pic>
              </a:graphicData>
            </a:graphic>
          </wp:inline>
        </w:drawing>
      </w:r>
    </w:p>
    <w:p>
      <w:pPr>
        <w:spacing w:after="0"/>
        <w:ind w:left="0"/>
        <w:jc w:val="left"/>
      </w:pPr>
      <w:r>
        <w:br w:type="textWrapping"/>
      </w:r>
    </w:p>
    <w:p>
      <w:pPr>
        <w:spacing w:after="0"/>
        <w:ind w:left="0"/>
        <w:jc w:val="center"/>
      </w:pPr>
      <w:r>
        <w:drawing>
          <wp:inline distT="0" distB="0" distL="0" distR="0">
            <wp:extent cx="2800985" cy="17119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801518" cy="1712506"/>
                    </a:xfrm>
                    <a:prstGeom prst="rect">
                      <a:avLst/>
                    </a:prstGeom>
                  </pic:spPr>
                </pic:pic>
              </a:graphicData>
            </a:graphic>
          </wp:inline>
        </w:drawing>
      </w:r>
    </w:p>
    <w:p>
      <w:pPr>
        <w:spacing w:after="0"/>
        <w:ind w:left="0"/>
        <w:jc w:val="left"/>
      </w:pPr>
      <w:r>
        <w:drawing>
          <wp:inline distT="0" distB="0" distL="0" distR="0">
            <wp:extent cx="1737360" cy="18116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1737449" cy="1812265"/>
                    </a:xfrm>
                    <a:prstGeom prst="rect">
                      <a:avLst/>
                    </a:prstGeom>
                  </pic:spPr>
                </pic:pic>
              </a:graphicData>
            </a:graphic>
          </wp:inline>
        </w:drawing>
      </w:r>
      <w:r>
        <w:rPr>
          <w:b w:val="0"/>
          <w:i w:val="0"/>
          <w:color w:val="000000"/>
          <w:sz w:val="19"/>
        </w:rPr>
        <w:t>课前在优慕课平台上布置的讨论题和学生作答情况</w:t>
      </w:r>
    </w:p>
    <w:p>
      <w:pPr>
        <w:spacing w:after="0"/>
        <w:ind w:left="0"/>
        <w:jc w:val="left"/>
      </w:pPr>
      <w:r>
        <w:rPr>
          <w:b w:val="0"/>
          <w:i w:val="0"/>
          <w:color w:val="000000"/>
          <w:sz w:val="24"/>
        </w:rPr>
        <w:t>2.课中以问题驱动和小组讨论的方式开展。教师故意示范错误的礼节，抽查学生结合所预习课文的情况指出所看到的不正确行为礼仪示范，然后播放泰国礼仪相关短片视频，观看后由小组同学共同讨论后派出各组代表成员到台上再次做出示范，小组其它同学用泰语进行总结，并回答老师提出的问题：泰国礼仪中你感受最深和最难理解的部分有哪些？经过学习和体验，用泰语谈谈你对泰国礼仪和中国礼仪文明的理解与感受。</w:t>
      </w:r>
    </w:p>
    <w:p>
      <w:pPr>
        <w:spacing w:after="0"/>
        <w:ind w:left="142"/>
        <w:jc w:val="center"/>
      </w:pPr>
      <w:r>
        <w:drawing>
          <wp:inline distT="0" distB="0" distL="0" distR="0">
            <wp:extent cx="5010150" cy="5137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010404" cy="5137417"/>
                    </a:xfrm>
                    <a:prstGeom prst="rect">
                      <a:avLst/>
                    </a:prstGeom>
                  </pic:spPr>
                </pic:pic>
              </a:graphicData>
            </a:graphic>
          </wp:inline>
        </w:drawing>
      </w:r>
    </w:p>
    <w:p>
      <w:pPr>
        <w:spacing w:after="0"/>
        <w:ind w:left="142"/>
        <w:jc w:val="left"/>
      </w:pPr>
      <w:r>
        <w:rPr>
          <w:b w:val="0"/>
          <w:i w:val="0"/>
          <w:color w:val="000000"/>
          <w:sz w:val="19"/>
        </w:rPr>
        <w:t>本课教学提供给学生的视频学习资料</w:t>
      </w:r>
    </w:p>
    <w:p>
      <w:pPr>
        <w:spacing w:after="0"/>
        <w:ind w:left="142"/>
        <w:jc w:val="left"/>
      </w:pPr>
      <w:r>
        <w:br w:type="textWrapping"/>
      </w:r>
    </w:p>
    <w:p>
      <w:pPr>
        <w:spacing w:after="0"/>
        <w:ind w:left="142"/>
        <w:jc w:val="center"/>
      </w:pPr>
      <w:r>
        <w:drawing>
          <wp:inline distT="0" distB="0" distL="0" distR="0">
            <wp:extent cx="3732530" cy="23977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3732593" cy="2398332"/>
                    </a:xfrm>
                    <a:prstGeom prst="rect">
                      <a:avLst/>
                    </a:prstGeom>
                  </pic:spPr>
                </pic:pic>
              </a:graphicData>
            </a:graphic>
          </wp:inline>
        </w:drawing>
      </w:r>
    </w:p>
    <w:p>
      <w:pPr>
        <w:spacing w:after="0"/>
        <w:ind w:left="142"/>
        <w:jc w:val="left"/>
      </w:pPr>
      <w:r>
        <w:rPr>
          <w:b w:val="0"/>
          <w:i w:val="0"/>
          <w:color w:val="000000"/>
          <w:sz w:val="19"/>
        </w:rPr>
        <w:t>课堂PPT内容</w:t>
      </w:r>
    </w:p>
    <w:p>
      <w:pPr>
        <w:spacing w:after="0"/>
        <w:ind w:left="142"/>
        <w:jc w:val="left"/>
      </w:pPr>
      <w:r>
        <w:rPr>
          <w:b w:val="0"/>
          <w:i w:val="0"/>
          <w:color w:val="000000"/>
          <w:sz w:val="24"/>
        </w:rPr>
        <w:t>3.课后进一步内化所学知识，布置思考任务：随着时代发展，中国和泰国的传统礼仪是否有发生变化，具体表现为哪些现象？其中你有哪些见解和感想？要求以确切的礼仪故事实例说明，并使用泰语以PPT讲解和表演呈现相结合的形式进行汇报。</w:t>
      </w:r>
    </w:p>
    <w:p>
      <w:pPr>
        <w:spacing w:after="0"/>
        <w:ind w:left="0"/>
        <w:jc w:val="center"/>
      </w:pPr>
      <w:r>
        <w:drawing>
          <wp:inline distT="0" distB="0" distL="0" distR="0">
            <wp:extent cx="3794760" cy="24396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794938" cy="2439899"/>
                    </a:xfrm>
                    <a:prstGeom prst="rect">
                      <a:avLst/>
                    </a:prstGeom>
                  </pic:spPr>
                </pic:pic>
              </a:graphicData>
            </a:graphic>
          </wp:inline>
        </w:drawing>
      </w:r>
    </w:p>
    <w:p>
      <w:pPr>
        <w:spacing w:after="0"/>
        <w:ind w:left="142"/>
        <w:jc w:val="left"/>
      </w:pPr>
      <w:r>
        <w:rPr>
          <w:b w:val="0"/>
          <w:i w:val="0"/>
          <w:color w:val="000000"/>
          <w:sz w:val="19"/>
        </w:rPr>
        <w:t>课后任务布置</w:t>
      </w:r>
    </w:p>
    <w:p>
      <w:pPr>
        <w:spacing w:after="0"/>
        <w:ind w:left="142"/>
        <w:jc w:val="left"/>
      </w:pPr>
      <w:r>
        <w:rPr>
          <w:b w:val="0"/>
          <w:i w:val="0"/>
          <w:color w:val="000000"/>
          <w:sz w:val="24"/>
        </w:rPr>
        <w:t>4.持续强化，注重提升学生对泰语学习的兴趣和热情。外教每周日晚自习在泰语沙龙开展的泰国文化实训体验课，本人全程听课观摩，并配合外教指导学生开展泰国礼仪培训实践体验。</w:t>
      </w:r>
    </w:p>
    <w:p>
      <w:pPr>
        <w:spacing w:after="0"/>
        <w:ind w:left="0"/>
        <w:jc w:val="center"/>
      </w:pPr>
      <w:r>
        <w:drawing>
          <wp:inline distT="0" distB="0" distL="0" distR="0">
            <wp:extent cx="2480945" cy="18618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2481351" cy="1862049"/>
                    </a:xfrm>
                    <a:prstGeom prst="rect">
                      <a:avLst/>
                    </a:prstGeom>
                  </pic:spPr>
                </pic:pic>
              </a:graphicData>
            </a:graphic>
          </wp:inline>
        </w:drawing>
      </w:r>
    </w:p>
    <w:p>
      <w:pPr>
        <w:spacing w:after="0"/>
        <w:ind w:left="0"/>
        <w:jc w:val="left"/>
      </w:pPr>
      <w:r>
        <w:drawing>
          <wp:inline distT="0" distB="0" distL="0" distR="0">
            <wp:extent cx="2439670" cy="1828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2439784" cy="1828800"/>
                    </a:xfrm>
                    <a:prstGeom prst="rect">
                      <a:avLst/>
                    </a:prstGeom>
                  </pic:spPr>
                </pic:pic>
              </a:graphicData>
            </a:graphic>
          </wp:inline>
        </w:drawing>
      </w:r>
      <w:r>
        <w:drawing>
          <wp:inline distT="0" distB="0" distL="0" distR="0">
            <wp:extent cx="2472690" cy="18535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473033" cy="1853743"/>
                    </a:xfrm>
                    <a:prstGeom prst="rect">
                      <a:avLst/>
                    </a:prstGeom>
                  </pic:spPr>
                </pic:pic>
              </a:graphicData>
            </a:graphic>
          </wp:inline>
        </w:drawing>
      </w:r>
    </w:p>
    <w:p>
      <w:pPr>
        <w:spacing w:after="0"/>
        <w:ind w:left="0"/>
        <w:jc w:val="center"/>
      </w:pPr>
      <w:r>
        <w:drawing>
          <wp:inline distT="0" distB="0" distL="0" distR="0">
            <wp:extent cx="2493645" cy="18700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2493823" cy="1870367"/>
                    </a:xfrm>
                    <a:prstGeom prst="rect">
                      <a:avLst/>
                    </a:prstGeom>
                  </pic:spPr>
                </pic:pic>
              </a:graphicData>
            </a:graphic>
          </wp:inline>
        </w:drawing>
      </w:r>
    </w:p>
    <w:p>
      <w:pPr>
        <w:spacing w:after="0"/>
        <w:ind w:left="0"/>
        <w:jc w:val="center"/>
      </w:pPr>
      <w:r>
        <w:rPr>
          <w:b w:val="0"/>
          <w:i w:val="0"/>
          <w:color w:val="000000"/>
          <w:sz w:val="19"/>
        </w:rPr>
        <w:t>泰国礼仪培训实践体验</w:t>
      </w:r>
    </w:p>
    <w:p>
      <w:pPr>
        <w:spacing w:after="0"/>
        <w:ind w:left="0"/>
        <w:jc w:val="left"/>
      </w:pPr>
      <w:r>
        <w:rPr>
          <w:b w:val="0"/>
          <w:i w:val="0"/>
          <w:color w:val="000000"/>
          <w:sz w:val="24"/>
        </w:rPr>
        <w:t>5.布置坚持每日撰写泰语日记和短文写作训练等，记录日常所学知识和感想。鼓励学生参加专业相关活动，体验中泰文化差异，系里师生共同参与活动，互相交流学习。</w:t>
      </w:r>
    </w:p>
    <w:p>
      <w:pPr>
        <w:spacing w:after="0"/>
        <w:ind w:left="0"/>
        <w:jc w:val="left"/>
      </w:pPr>
      <w:r>
        <w:rPr>
          <w:b w:val="0"/>
          <w:i w:val="0"/>
          <w:color w:val="000000"/>
          <w:sz w:val="24"/>
        </w:rPr>
        <w:t>（三）特色亮点</w:t>
      </w:r>
    </w:p>
    <w:p>
      <w:pPr>
        <w:spacing w:after="0"/>
        <w:ind w:left="142"/>
        <w:jc w:val="left"/>
      </w:pPr>
      <w:r>
        <w:rPr>
          <w:b w:val="0"/>
          <w:i w:val="0"/>
          <w:color w:val="000000"/>
          <w:sz w:val="24"/>
        </w:rPr>
        <w:t>1.专业知识承载思政要点，整合学习资源，优化教学设计，采用问题驱动式和合作探讨式教学方法，保持一定的教学节奏，有效提高学生学习的主动性和参与度，活跃其思维。</w:t>
      </w:r>
    </w:p>
    <w:p>
      <w:pPr>
        <w:spacing w:after="0"/>
        <w:ind w:left="142"/>
        <w:jc w:val="left"/>
      </w:pPr>
      <w:r>
        <w:rPr>
          <w:b w:val="0"/>
          <w:i w:val="0"/>
          <w:color w:val="000000"/>
          <w:sz w:val="24"/>
        </w:rPr>
        <w:t>2.用传统故事开展思政教育，语言和文化知识相融合，引出正面积极的思考与探讨，训练高阶思维，提升学生的认知水平，进一步提高综合素养，有效促成“精神成人”。</w:t>
      </w:r>
    </w:p>
    <w:p>
      <w:pPr>
        <w:spacing w:after="0"/>
        <w:ind w:left="142"/>
        <w:jc w:val="left"/>
      </w:pPr>
      <w:r>
        <w:rPr>
          <w:b w:val="0"/>
          <w:i w:val="0"/>
          <w:color w:val="000000"/>
          <w:sz w:val="24"/>
        </w:rPr>
        <w:t>3.同外教做好合作备课，组织礼仪培训实践体验，注重学练结合，耐心教导，使学生在理论学习的基础上获得更多的实践锻炼机会，提升学生个人修养。</w:t>
      </w:r>
    </w:p>
    <w:p>
      <w:pPr>
        <w:spacing w:after="0"/>
        <w:ind w:left="142"/>
        <w:jc w:val="left"/>
      </w:pPr>
      <w:r>
        <w:rPr>
          <w:b w:val="0"/>
          <w:i w:val="0"/>
          <w:color w:val="000000"/>
          <w:sz w:val="24"/>
        </w:rPr>
        <w:t>4.及时组织开展相关专业活动，强化育人理念，让学生能切实体验中泰文化的魅力，开拓视野，教育引导学生既要看到本国文化自信的一部分，也要学会尊重和理解文化差异，学会入乡随俗。</w:t>
      </w:r>
    </w:p>
    <w:p>
      <w:pPr>
        <w:spacing w:after="0"/>
        <w:ind w:left="0"/>
        <w:jc w:val="left"/>
      </w:pPr>
      <w:r>
        <w:rPr>
          <w:b/>
          <w:i w:val="0"/>
          <w:color w:val="000000"/>
          <w:sz w:val="24"/>
        </w:rPr>
        <w:t>（四）教学效果</w:t>
      </w:r>
    </w:p>
    <w:p>
      <w:pPr>
        <w:spacing w:after="0"/>
        <w:ind w:left="0"/>
        <w:jc w:val="left"/>
      </w:pPr>
      <w:r>
        <w:rPr>
          <w:b w:val="0"/>
          <w:i w:val="0"/>
          <w:color w:val="000000"/>
          <w:sz w:val="24"/>
        </w:rPr>
        <w:t>小班教学，教学过程中学生参与度高，任务完成度和完成质量较好。通过学习和训练，本节的语言知识学生记得更为牢固，同时也学会了泰国的基本行为礼仪，加深了对泰国文化的了解。日常生活中，督促学生坚持实践规范的行为礼仪，如，不同场合下，见到老师和学姐学长须行正确的双手合十礼，并礼貌问好。整体来看，班上每位学生都较有礼貌，个人素质和修养有了进一步提升，思政育人效果良好。</w:t>
      </w:r>
    </w:p>
    <w:p>
      <w:pPr>
        <w:spacing w:after="0"/>
        <w:ind w:left="0"/>
        <w:jc w:val="left"/>
      </w:pPr>
      <w:r>
        <w:rPr>
          <w:b w:val="0"/>
          <w:i w:val="0"/>
          <w:color w:val="000000"/>
          <w:sz w:val="24"/>
        </w:rPr>
        <w:t>经过大一和大二阶段在国内接受语言和文化基础知识的学习与训练，大三到了泰国，学生们能很快融入到泰国的日常学习和生活中，跨文化交际能力显著提高，既能在一些活动场合将所学习到的泰国礼仪正确地展现出来，也积极参加泰国中小学生汉语学习营活动，将一些中华传统美德故事讲给泰国人听，实践着弘扬和传承中华优秀传统文化的重要使命。</w:t>
      </w:r>
    </w:p>
    <w:p>
      <w:pPr>
        <w:spacing w:after="0"/>
        <w:ind w:left="0"/>
        <w:jc w:val="left"/>
      </w:pPr>
      <w:r>
        <w:br w:type="textWrapping"/>
      </w:r>
    </w:p>
    <w:p>
      <w:pPr>
        <w:spacing w:after="0"/>
        <w:ind w:left="0"/>
        <w:jc w:val="left"/>
      </w:pPr>
      <w:r>
        <w:drawing>
          <wp:inline distT="0" distB="0" distL="0" distR="0">
            <wp:extent cx="2352040" cy="17659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2352497" cy="1766456"/>
                    </a:xfrm>
                    <a:prstGeom prst="rect">
                      <a:avLst/>
                    </a:prstGeom>
                  </pic:spPr>
                </pic:pic>
              </a:graphicData>
            </a:graphic>
          </wp:inline>
        </w:drawing>
      </w:r>
      <w:r>
        <w:drawing>
          <wp:inline distT="0" distB="0" distL="0" distR="0">
            <wp:extent cx="2547620" cy="17284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2547849" cy="1729042"/>
                    </a:xfrm>
                    <a:prstGeom prst="rect">
                      <a:avLst/>
                    </a:prstGeom>
                  </pic:spPr>
                </pic:pic>
              </a:graphicData>
            </a:graphic>
          </wp:inline>
        </w:drawing>
      </w:r>
    </w:p>
    <w:p>
      <w:pPr>
        <w:spacing w:after="0"/>
        <w:ind w:left="0"/>
        <w:jc w:val="left"/>
      </w:pPr>
      <w:r>
        <w:rPr>
          <w:b w:val="0"/>
          <w:i w:val="0"/>
          <w:color w:val="000000"/>
          <w:sz w:val="22"/>
        </w:rPr>
        <w:t xml:space="preserve"> 学生在泰国参加拜师节活动 行为礼仪训练</w:t>
      </w:r>
    </w:p>
    <w:p>
      <w:pPr>
        <w:spacing w:after="0"/>
        <w:ind w:left="0"/>
        <w:jc w:val="left"/>
      </w:pPr>
      <w:r>
        <w:br w:type="textWrapping"/>
      </w:r>
    </w:p>
    <w:p>
      <w:pPr>
        <w:spacing w:after="0"/>
        <w:ind w:left="0"/>
        <w:jc w:val="center"/>
      </w:pPr>
      <w:r>
        <w:drawing>
          <wp:inline distT="0" distB="0" distL="0" distR="0">
            <wp:extent cx="2505710" cy="16706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2506282" cy="1670863"/>
                    </a:xfrm>
                    <a:prstGeom prst="rect">
                      <a:avLst/>
                    </a:prstGeom>
                  </pic:spPr>
                </pic:pic>
              </a:graphicData>
            </a:graphic>
          </wp:inline>
        </w:drawing>
      </w:r>
    </w:p>
    <w:p>
      <w:pPr>
        <w:spacing w:after="0"/>
        <w:ind w:left="0"/>
        <w:jc w:val="left"/>
      </w:pPr>
      <w:r>
        <w:rPr>
          <w:b w:val="0"/>
          <w:i w:val="0"/>
          <w:color w:val="000000"/>
          <w:sz w:val="22"/>
        </w:rPr>
        <w:t xml:space="preserve"> 学生参加泰国中小学生汉语学习营活动</w:t>
      </w:r>
      <w:r>
        <w:br w:type="textWrapping"/>
      </w:r>
    </w:p>
    <w:p>
      <w:pPr>
        <w:spacing w:after="0"/>
        <w:ind w:left="0"/>
        <w:jc w:val="left"/>
      </w:pPr>
      <w:r>
        <w:br w:type="textWrapping"/>
      </w:r>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isplayHorizontalDrawingGridEvery w:val="1"/>
  <w:displayVerticalDrawingGridEvery w:val="1"/>
  <w:noPunctuationKerning w:val="1"/>
  <w:footnotePr>
    <w:footnote w:id="0"/>
    <w:footnote w:id="1"/>
  </w:footnotePr>
  <w:endnotePr>
    <w:endnote w:id="0"/>
    <w:endnote w:id="1"/>
  </w:endnotePr>
  <w:compat>
    <w:doNotExpandShiftReturn/>
    <w:doNotWrapTextWithPunct/>
    <w:doNotUseEastAsianBreakRules/>
    <w:useFELayout/>
    <w:doNotUseIndentAsNumberingTabStop/>
    <w:splitPgBreakAndParaMark/>
    <w:compatSetting w:name="compatibilityMode" w:uri="http://schemas.microsoft.com/office/word" w:val="12"/>
  </w:compat>
  <w:docVars>
    <w:docVar w:name="commondata" w:val="eyJoZGlkIjoiYjVlMjY4ZGFiODg3MWU0MmZjM2FkNzIxYTI2ZjUzZDYifQ=="/>
  </w:docVars>
  <w:rsids>
    <w:rsidRoot w:val="00000000"/>
    <w:rsid w:val="1B956156"/>
    <w:rsid w:val="5D973658"/>
    <w:rsid w:val="6AAB338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6"/>
    <w:qFormat/>
    <w:uiPriority w:val="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17"/>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18"/>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paragraph" w:styleId="5">
    <w:name w:val="heading 4"/>
    <w:basedOn w:val="1"/>
    <w:next w:val="1"/>
    <w:link w:val="19"/>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qFormat/>
    <w:uiPriority w:val="99"/>
    <w:pPr>
      <w:ind w:left="720"/>
    </w:pPr>
  </w:style>
  <w:style w:type="paragraph" w:styleId="7">
    <w:name w:val="header"/>
    <w:basedOn w:val="1"/>
    <w:link w:val="15"/>
    <w:unhideWhenUsed/>
    <w:qFormat/>
    <w:uiPriority w:val="99"/>
    <w:pPr>
      <w:tabs>
        <w:tab w:val="center" w:pos="4680"/>
        <w:tab w:val="right" w:pos="9360"/>
      </w:tabs>
    </w:pPr>
  </w:style>
  <w:style w:type="paragraph" w:styleId="8">
    <w:name w:val="Subtitle"/>
    <w:basedOn w:val="1"/>
    <w:next w:val="1"/>
    <w:link w:val="20"/>
    <w:qFormat/>
    <w:uiPriority w:val="11"/>
    <w:pPr>
      <w:ind w:left="86"/>
    </w:pPr>
    <w:rPr>
      <w:rFonts w:asciiTheme="majorHAnsi" w:hAnsiTheme="majorHAnsi" w:eastAsiaTheme="majorEastAsia" w:cstheme="majorBidi"/>
      <w:i/>
      <w:iCs/>
      <w:color w:val="4F81BD" w:themeColor="accent1"/>
      <w:spacing w:val="15"/>
      <w:sz w:val="24"/>
      <w:szCs w:val="24"/>
    </w:rPr>
  </w:style>
  <w:style w:type="paragraph" w:styleId="9">
    <w:name w:val="Title"/>
    <w:basedOn w:val="1"/>
    <w:next w:val="1"/>
    <w:link w:val="21"/>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table" w:styleId="11">
    <w:name w:val="Table Grid"/>
    <w:basedOn w:val="10"/>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3">
    <w:name w:val="Emphasis"/>
    <w:basedOn w:val="12"/>
    <w:qFormat/>
    <w:uiPriority w:val="20"/>
    <w:rPr>
      <w:i/>
      <w:iCs/>
    </w:rPr>
  </w:style>
  <w:style w:type="character" w:styleId="14">
    <w:name w:val="Hyperlink"/>
    <w:basedOn w:val="12"/>
    <w:unhideWhenUsed/>
    <w:qFormat/>
    <w:uiPriority w:val="99"/>
    <w:rPr>
      <w:color w:val="0000FF" w:themeColor="hyperlink"/>
      <w:u w:val="single"/>
    </w:rPr>
  </w:style>
  <w:style w:type="character" w:customStyle="1" w:styleId="15">
    <w:name w:val="Header Char"/>
    <w:basedOn w:val="12"/>
    <w:link w:val="7"/>
    <w:qFormat/>
    <w:uiPriority w:val="99"/>
  </w:style>
  <w:style w:type="character" w:customStyle="1" w:styleId="16">
    <w:name w:val="Heading 1 Char"/>
    <w:basedOn w:val="12"/>
    <w:link w:val="2"/>
    <w:qFormat/>
    <w:uiPriority w:val="9"/>
    <w:rPr>
      <w:rFonts w:asciiTheme="majorHAnsi" w:hAnsiTheme="majorHAnsi" w:eastAsiaTheme="majorEastAsia" w:cstheme="majorBidi"/>
      <w:b/>
      <w:bCs/>
      <w:color w:val="366091" w:themeColor="accent1" w:themeShade="BF"/>
      <w:sz w:val="28"/>
      <w:szCs w:val="28"/>
    </w:rPr>
  </w:style>
  <w:style w:type="character" w:customStyle="1" w:styleId="17">
    <w:name w:val="Heading 2 Char"/>
    <w:basedOn w:val="12"/>
    <w:link w:val="3"/>
    <w:qFormat/>
    <w:uiPriority w:val="9"/>
    <w:rPr>
      <w:rFonts w:asciiTheme="majorHAnsi" w:hAnsiTheme="majorHAnsi" w:eastAsiaTheme="majorEastAsia" w:cstheme="majorBidi"/>
      <w:b/>
      <w:bCs/>
      <w:color w:val="4F81BD" w:themeColor="accent1"/>
      <w:sz w:val="26"/>
      <w:szCs w:val="26"/>
    </w:rPr>
  </w:style>
  <w:style w:type="character" w:customStyle="1" w:styleId="18">
    <w:name w:val="Heading 3 Char"/>
    <w:basedOn w:val="12"/>
    <w:link w:val="4"/>
    <w:qFormat/>
    <w:uiPriority w:val="9"/>
    <w:rPr>
      <w:rFonts w:asciiTheme="majorHAnsi" w:hAnsiTheme="majorHAnsi" w:eastAsiaTheme="majorEastAsia" w:cstheme="majorBidi"/>
      <w:b/>
      <w:bCs/>
      <w:color w:val="4F81BD" w:themeColor="accent1"/>
    </w:rPr>
  </w:style>
  <w:style w:type="character" w:customStyle="1" w:styleId="19">
    <w:name w:val="Heading 4 Char"/>
    <w:basedOn w:val="12"/>
    <w:link w:val="5"/>
    <w:qFormat/>
    <w:uiPriority w:val="9"/>
    <w:rPr>
      <w:rFonts w:asciiTheme="majorHAnsi" w:hAnsiTheme="majorHAnsi" w:eastAsiaTheme="majorEastAsia" w:cstheme="majorBidi"/>
      <w:b/>
      <w:bCs/>
      <w:i/>
      <w:iCs/>
      <w:color w:val="4F81BD" w:themeColor="accent1"/>
    </w:rPr>
  </w:style>
  <w:style w:type="character" w:customStyle="1" w:styleId="20">
    <w:name w:val="Subtitle Char"/>
    <w:basedOn w:val="12"/>
    <w:link w:val="8"/>
    <w:qFormat/>
    <w:uiPriority w:val="11"/>
    <w:rPr>
      <w:rFonts w:asciiTheme="majorHAnsi" w:hAnsiTheme="majorHAnsi" w:eastAsiaTheme="majorEastAsia" w:cstheme="majorBidi"/>
      <w:i/>
      <w:iCs/>
      <w:color w:val="4F81BD" w:themeColor="accent1"/>
      <w:spacing w:val="15"/>
      <w:sz w:val="24"/>
      <w:szCs w:val="24"/>
    </w:rPr>
  </w:style>
  <w:style w:type="character" w:customStyle="1" w:styleId="21">
    <w:name w:val="Title Char"/>
    <w:basedOn w:val="12"/>
    <w:link w:val="9"/>
    <w:qFormat/>
    <w:uiPriority w:val="10"/>
    <w:rPr>
      <w:rFonts w:asciiTheme="majorHAnsi" w:hAnsiTheme="majorHAnsi" w:eastAsiaTheme="majorEastAsia" w:cstheme="majorBidi"/>
      <w:color w:val="17365D" w:themeColor="text2" w:themeShade="BF"/>
      <w:spacing w:val="5"/>
      <w:kern w:val="28"/>
      <w:sz w:val="52"/>
      <w:szCs w:val="52"/>
    </w:rPr>
  </w:style>
  <w:style w:type="paragraph" w:customStyle="1" w:styleId="22">
    <w:name w:val="DocDefaults"/>
    <w:qFormat/>
    <w:uiPriority w:val="0"/>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106</TotalTime>
  <ScaleCrop>false</ScaleCrop>
  <LinksUpToDate>false</LinksUpToDate>
  <Application>WPS Office_11.1.0.12980_F1E327BC-269C-435d-A152-05C5408002CA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2023-03-27T06:46:00Z</dcterms:created>
  <dc:creator>Administrator</dc:creator>
  <cp:lastModifiedBy>陆小惰</cp:lastModifiedBy>
  <dcterms:modified xsi:type="dcterms:W3CDTF">2023-03-28T02:34:14Z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EC201A43FA134C5A9A7C49D52614D895</vt:lpwstr>
  </property>
</Properties>
</file>